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4" w:rsidRPr="00C01AF4" w:rsidRDefault="00C01AF4" w:rsidP="00C01AF4">
      <w:pPr>
        <w:pBdr>
          <w:bottom w:val="single" w:sz="6" w:space="8" w:color="E5E5E5"/>
        </w:pBdr>
        <w:spacing w:before="120" w:after="300" w:line="240" w:lineRule="auto"/>
        <w:ind w:firstLine="284"/>
        <w:jc w:val="center"/>
        <w:outlineLvl w:val="0"/>
        <w:rPr>
          <w:rFonts w:ascii="roboto" w:eastAsia="Times New Roman" w:hAnsi="roboto" w:cs="Times New Roman"/>
          <w:i/>
          <w:color w:val="484848"/>
          <w:kern w:val="36"/>
          <w:sz w:val="32"/>
          <w:szCs w:val="32"/>
          <w:u w:val="single"/>
          <w:lang w:eastAsia="ru-RU"/>
        </w:rPr>
      </w:pPr>
      <w:r w:rsidRPr="00C01AF4">
        <w:rPr>
          <w:rFonts w:ascii="roboto" w:eastAsia="Times New Roman" w:hAnsi="roboto" w:cs="Times New Roman"/>
          <w:i/>
          <w:color w:val="484848"/>
          <w:kern w:val="36"/>
          <w:sz w:val="32"/>
          <w:szCs w:val="32"/>
          <w:u w:val="single"/>
          <w:lang w:eastAsia="ru-RU"/>
        </w:rPr>
        <w:t>Проблема тонкого эндометрия и возможные пути ее решения</w:t>
      </w:r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И.В. Кузнецова</w:t>
      </w:r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 xml:space="preserve">Н.С. </w:t>
      </w:r>
      <w:proofErr w:type="spellStart"/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Землина</w:t>
      </w:r>
      <w:proofErr w:type="spellEnd"/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Т.Н. Рашидов</w:t>
      </w:r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М.А. Коваленко</w:t>
      </w:r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Первый Московский государственный медицинский университет им. И.М. Сеченова</w:t>
      </w:r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Адрес для переписки: Ирина Всеволодовна Кузнецова, ms.smith.ivk@gmail.com</w:t>
      </w:r>
    </w:p>
    <w:p w:rsidR="00C01AF4" w:rsidRPr="00C01AF4" w:rsidRDefault="00C01AF4" w:rsidP="00C01AF4">
      <w:pPr>
        <w:spacing w:after="60" w:line="240" w:lineRule="auto"/>
        <w:ind w:firstLine="284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C01AF4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"ЭФФЕКТИВНАЯ ФАРМАКОТЕРАПИЯ. Акушерство и гинекология" № 1 (5) | 2015</w:t>
      </w:r>
    </w:p>
    <w:p w:rsidR="00C01AF4" w:rsidRDefault="00C01AF4" w:rsidP="00C01AF4">
      <w:pPr>
        <w:shd w:val="clear" w:color="auto" w:fill="FFFFFF"/>
        <w:spacing w:line="240" w:lineRule="auto"/>
        <w:ind w:firstLine="284"/>
        <w:jc w:val="both"/>
        <w:rPr>
          <w:rFonts w:ascii="roboto" w:eastAsia="Times New Roman" w:hAnsi="roboto" w:cs="Times New Roman"/>
          <w:color w:val="969489"/>
          <w:sz w:val="24"/>
          <w:szCs w:val="24"/>
          <w:lang w:eastAsia="ru-RU"/>
        </w:rPr>
      </w:pP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Морфофункциональное состояние эндометрия определяет возможность наступл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ния беременности, благополучное ее течение и успешное завершение. Одной из сущ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ственных причин снижения фертильности (бесплодия и </w:t>
      </w:r>
      <w:proofErr w:type="spellStart"/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невынашивания</w:t>
      </w:r>
      <w:proofErr w:type="spellEnd"/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беременн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сти) является недостаточная </w:t>
      </w:r>
      <w:proofErr w:type="spellStart"/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эндометриальная</w:t>
      </w:r>
      <w:proofErr w:type="spellEnd"/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функция, обусловленная как нар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шениями функции яичников, так и изменениями структуры самого эндометрия, н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ступающими чаще всего в результате воспаления. Восстановление чувствительн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сти, или восприимчивости (рецептивности), эндометрия – задача гораздо более сложная, чем стимуляция функции яичников или ее гормональное замещение. Сл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дует признать, что на сегодняшний день она далека от разрешения. Гормональная, иммуномодулирующая, метаболическая, </w:t>
      </w:r>
      <w:proofErr w:type="spellStart"/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таргетная</w:t>
      </w:r>
      <w:proofErr w:type="spellEnd"/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терапия должна рассматриват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ь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ся в контексте причин формирования тонкого эндометрия и оказывать не конкур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рующее, а комплексное воздействие, основанное на понимании процессов, происх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дящих в энд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метрии в течение нормального менструального цикла.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Эндометрий – уникальная структура женского организма, предназначенная для осущ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ствления репродуктивной функции. Полноценное созревание эндометрия, его восприи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чивость (рецептивность) и способность вступать в адекватный «диалог» с продуктом зач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тия являются залогом успешного наступления и вынашивания беременности. Нарушения имплантации приводят не только к многолетнему бесплодию и неудачам экстракорп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рального оплодотворения (ЭКО), но и к самопроизвольным выкидышам в первом трим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стре беременности, повышению риска преждевременных родов и других грозных осло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нений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преэклампсии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синдрому 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держки роста плода, плацентарной недостаточности). Указанные осложнения в настоящее время рассматривают как следствие недостаточности инвазии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трофобласта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формирующейся на ранних стадиях имплантации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бластоцисты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 данным отечественных и зарубежных авторов, распространенность бесплодия до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тигает 10–15%, в некоторых регионах России – 20%, а частота самопроизвольного вык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дыша в первом триместре беременности сохраняется на уровне 16% [1, 2]. Снижение же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ской фе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тильности имеет множество причин, среди которых на долю маточного фактора бесплодия в изолированном или сочетанном варианте приходится 24–62% [3]. Известно, что частота встречаемости патологических изменений эндометрия при бесплодии дост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гает 88% [2], при неэффективных попытках ЭКО – 77,5% [4]. Наличие внутриматочной патологии является независимым фактором риска бесплодия, увеличивающим его вероя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ность в четыре раза. Эти данные подтверждают существующее мнение о ключевой роли эндометрия в имплантации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плацентации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Следовательно, очевидна необходимость его морфофункциональной оценки у женщин с бесплодием и привычным самопроизвольным выкидышем.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Недостаточность эндометрия может возникать вследствие перенесенных воспалител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ь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ных заболеваний органов малого таза, изменений гормонального гомеостаза, врачебных манипуляций и операций, связанных с травмой базального слоя эндометрия. Одной из важнейших причин снижения репродуктивной функции является хронический восп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лительный процесс в эндометрии. Для данного заболевания характерно нарушение ме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клеточных взаимодействий, склероз стромы вокруг сосудов, изменения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ангиоархитект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тканей и ишемия [5]. У женщин с хроническим эндометритом почти в 50% случаев диагностируют бесплодие (преимущественно вторичное), а 37% больных в анамнезе им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ют неудачные попытки ЭКО (в среднем три попытки на пациентку). Длительная и часто бессимптомная персистенция инфекционных агентов в эндометрии приводит к выраженным изменениям в тканевой структ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ре, препятствуя нормальной имплантации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плацентации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формируя патологический ответ на беременность, а также вызывая нар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шения пролиферации и нормальной циклической трансформации эндометрия. Структу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ные последствия хронического эндометрита связаны с развитием в полости матки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син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хий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крайней степенью которых является синдром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Ашерм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[6].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 настоящее время не существует общепризнанного определения «тонкий эндоме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рий». В различных исследованиях авторы предлагают рассматривать в качестве прогн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стического критерия неудачи имплантации разную толщину эндометрия. Принято сч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тать, что толщина эндометрия в период предполагаемого «имплантационного окна» менее 8 мм дает минимальные шансы на продуктивное зачатие. Согласно результатам систем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тизированного обзора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метаанализа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исследований по оценке клинически значимой то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щины эндометрия в программах ЭКО, тонкий эндометрий (≤ 7 мм) наблюдался только в 2,4% успешных циклов, завершившихся наступлением беременности. Вероятность кл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нической беременности при толщине эндометрия ≤ 7 мм была значительно ниже по сравнению со случаями толщины э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дометрия &gt; 7 мм (23,3 и 48,1% соответственно) [6].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Наряду с толщиной эндометрия важнейшим показателем его состоятельности считаю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эхографические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особенности, в частности признаки трехслойной структуры. Было 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казано, что даже при толщине эндометрия менее 7 мм наличие трехслойной структуры может обеспечить наступление беременности (24,4%) и низкую частоту выкидышей в первом триместре, тогда как при отсутствии признаков трехслойной структуры бер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менностей не наблюдалось [7].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Золотым стандартом оценки состояния полости и слизистой оболочки матки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призн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гистероскопия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 биопсией и последующим гистологическим исследованием эндоме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рия [8]. Однако визуальной и морфологической диагностике доступны только структу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ные изм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нения полости матки и хронический эндометрит, что ограничивает применение данного метода. Гистологические критерии тонкого эндометрия в настоящее время не выработаны. Тем не 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иммуногистохимическом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исследовании выявляется ряд изменений, которые характеризуют это патологическое состояние слизистой оболочки 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 матки.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Патофизиологические особенности тонкого эндометрия состоят в недостаточном росте железистого эпителия, высоком сопротивлении в маточном кровотоке, уменьшении эк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прессии фактора роста эндотелия сосудов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vascular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endothelial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growth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VEGF) и бедном образовании сосудов [9]. Высокое сопротивление кровотока в радиальных арт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риях может быть триггером, неблагоприятно влияющим на рост железистого эпителия, в результате чего сн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жается уровень VEGF в эндометрии. Низкий VEGF обусловливает обеднение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ангиогенеза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что еще больше уменьшает сосудистый кровоток в эндометрии. Этот порочный круг приводит к формированию тонкого эндометрия, который в свою оч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редь пагубно влияет на рецептивность. Есть данные о том, что высокое сопротивление в кровотоке радиальных артерий в начале менструального цикла может быть предиктором 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тонкого эндометрия, но механизм возникновения высокого сопротивления в маточных артериях пока не ясен.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 одной из важных причин формирования тонкого эндометрия относят потерю реце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торов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стероидных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гормонов. Классические геномные механизмы действия гормонов включают активацию специфических ядерных рецепторов, между тем более быстрые би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логические эффекты проводятся через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мембраносвязанные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рецепторы, включая рецепт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ры, связанные с G-протеином [10]. Присутствие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последних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 эндометрии не доказано, а экспрессия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эстрогенового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рецептора альфа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эстрогенового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рецептора бета высока с доминированием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эстрогенового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рецептора альфа, который присутствует как в эпителии, так и в строме функционального слоя. У человека плотность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эстрогенового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рецептора альфа максимальна на протяжении пролиферативной фазы, но снижается в течение секр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торной фазы цикла. Эпителиальные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эстрогеновые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рецепторы бета также уменьшаются в секреторной фазе, они не определяются в строме, но присутствуют в сосудистом эндот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лии. Оба подтипа обнаруживаются в клетках, окружающих сосуды. Важно, что в эксперименте утрата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эстрогенового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рецептора альфа приводит к потере чувствительн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сти эндометрия к эстрогенам, в то время как исчезновение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эстроген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рецептора бета не сопровождается изменением его фенотипа и снижением фертильности [11].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Очевидно, что для эндометрия, как и для многих других тканей организма, характерен суточный циркадный ритм активности генов [12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]. Десинхронизация овариального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эндометриального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 xml:space="preserve"> цикла может приводить к потере рецептивности эндометрия без 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димых причин.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 целом следует признать, что мы еще очень далеки от понимания причин нарушения нормального роста эндометрия и лечение этого патологического состояния чаще всего носит эмпирический характер.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Существует несколько подходов к терапии недостаточности пролиферати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ной/секреторной активности эндометрия с целью создания благоприятных условий для разв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тия беременности и минимизации вероятных ее осложнений. Так, при выявлении инфекционного агента прим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няются антибиотики или противовирусные средства, также назначаются иммуномодулирующие препараты, гормоны, препараты, улучшающие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роциркуляцию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 тканях.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 последние годы было предложено множество подходов, направленных на увеличение толщины и улучшение структуры эндометрия, но ни один из них не может полностью решить задачу восстановления нормальной функции этого органа. Самым пр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стым и доступным, на первый взгляд, казался метод гормональной терапии, основанный на известной физиологической зависимости роста и функций эндометрия от уровня ов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риальных стероидов. К сожалению, применение эстрогенов не принесло ожидаемых 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зультатов, хотя «виновны» в этом, конечно, не эстрогены, а их неправомерно широкое 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пользование вне зависимости от наличия показаний и без понимания тонких физиолог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ческих механизмов регуляции пр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цессов в репродуктивной системе.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Эндогенные и экзогенные эстрогены усиливают процессы пролиферации, одновреме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но активируя воспалительную реакцию, что препятствует лечению хронического энд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метрита, но необходимо для осуществления имплантации.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 этой связи следует проводить подготовку эндометрия к беременности поэтапно. Предварительный этап подразумевает исключение 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роятных причин недостаточного роста и восстановление рецептивности, основной – собственно восстановление способности к зачатию в предполагаемом фе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тильном цикле.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Предварительный этап включает в себя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антибиотикотерапию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хронического эндометр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та и применение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иммуномодуляторов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а также других средств, потенциально способных восстановить рецептивность эндометрия. При наличии избыточной пролиферации 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в сочетании с хроническим эндометритом представляется закономерным использование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прогестагенов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прогестагенсодержащих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средств (после элиминации вероятного возб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дителя инфекционного воспаления). Интересные данные, свидетельствующие о восстановлении рецептивности, были получены в результате исследования морфофун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ционального состояния эндометрия у женщин с бесплодием и простой гиперплазией в сочетании с хроническим эндометритом после курса лечения индол-3-карбинолом и интерфероном [13].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Однако терапия тонкого эндометрия требует иного подхода. Здесь крайне важно 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highlight w:val="yellow"/>
          <w:lang w:eastAsia="ru-RU"/>
        </w:rPr>
        <w:t>блюдать принцип «пролиферация без воспаления».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Воспаление возможет возникнуть при систе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ном действии лекарственных средств, в состав которых входит набор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цитокинов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факторов роста, обеспечивающих активацию Th2 клеточного иммунитета и рост слиз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стой оболочки тела ма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ки. В этой связи представляет интерес использование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в виде внутривенных инъекций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Лекарственное средство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получено в результате многоэтапной переработки и очистки плаценты с использованием метода молекулярного фракционирования и является единственным препаратом из плаценты человека для внутривенного введения, зарегистрированным на территории Российской Федерации. В 2 мл ампулы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держится 112 мг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обладает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иммуномодуляторным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гепатопротективным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свойством. Поскольку нарушение пролиферативных процессов в эндометрии в большинстве случаев связано с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персистирующей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воспалительной реакцией, назначение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жет решить задачу роста эндометрия при подавлении избыточного воспаления.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Как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гепатопротектор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используется в целях восстановления функций печени и уменьшения содержания липидов и холестерина, стимуляции регенерации клеток, во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становления их жизненного цикла и синтетической активности, регуляции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апоптоза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улучшения тканевого дыхания, оказывает противовоспалительное, противоаллергическое действие, пр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дотвращает фиброз и спаечный процесс, индуцирует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ангиогенез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Очевидно, что на рост тонкого эндометрия может положительно влиять большинство из этих свойств, в частности стимуляция регенерации и синтетической активности клеток, инду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ция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ангиогенеза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снижение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которого расценивается как один из механизмов формиров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ния тонкого эндометрия.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Ранее мы сообщали о динамике роста эндометрия и клинической эффективности леч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ния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гидролизатом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пациенток с хроническим эндометритом и/или несостоятельностью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эндометриальной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функции в сравнении с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иммуномодуляторами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гепатопротекторами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витаминотерапией [14]. В исследование были включены 64 женщины в возрасте от 23 до 39 лет с бесплодием или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невынашиван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беременности,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рандомизированные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 три группы. Первая группа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n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= 25) получала комплексную терапию с включением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внутриве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6 мл в 250 мл физиологического раствора два раза в неделю (десять капел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ь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ниц на курс в течение пяти недель). Второй группе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n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= 20) был назначен комплекс тер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пии с включением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модуляторов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гепатопротекторов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Третьей группе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n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= 19) был проведен курс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прегравидарной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подготовки в виде приема стандартных поливитаминных комплексов.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Исходный мониторинг продемонстрировал сходные нарушения созревания эндометрия у всех пациенток. Достоверный (</w:t>
      </w:r>
      <w:proofErr w:type="spellStart"/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&lt; 0,01) рост толщины эндометрия в пролиферативной фазе цикла по сравнению с исходными показателями был отмечен после проведенной 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рапии уже на третьем месяце наблюдения в первой и второй группах, тогда как витамин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терапия не имела значимого эффекта. Полученный положительный результат сохранялся 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на шестом месяце наблюдения во второй группе и прогрессировал в первой, вследствие чего величина М-эхо в поздней пролиферативной фазе у пациентов, получавших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оказалась дост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верно выше (</w:t>
      </w:r>
      <w:proofErr w:type="spellStart"/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&lt; 0,01), чем у женщин, принимавших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иммуномодуляторы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гепатопротекторы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Оценка в секреторной фазе цикла не выявила достоверной положительной динамики у больных третьей группы, получавших витаминотерапию, в то время как во вт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рой группе на шестом месяце наблюдения было зафиксировано достоверное (</w:t>
      </w:r>
      <w:proofErr w:type="spellStart"/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&lt; 0,05) увеличение показателя М-эхо по сравнению с исходным значением. В первой группе 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ложительный результат (</w:t>
      </w:r>
      <w:proofErr w:type="spellStart"/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&lt; 0,01) был достигнут уже на третьем месяце наблюдения с нарастанием к шестому месяцу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&lt; 0,001 по сравнению с исходным показателем) и оказался достоверно выше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&lt; 0,01), чем во второй группе исследования. Таким обр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зом, влияние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на эндометрий оказалось более значимым по сравнению с терапией, включавшей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иммуномодуляторы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гепатопротекторы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Назнач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ние витаминов не оказывало существенного воздейс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вия на рост эндометрия.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Лекарственная терапия может влиять на эндометрий как непосредственно, так и опосредованно через нормализацию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стероидного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биосинтеза в яичниках. В этой связи был определен уровень половых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стероидных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гормонов исходно и на фоне терапии у 28 больных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подтвержденным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гиполютеинизмом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 трех исследуемых группах.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Значимых изменений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стероидогенеза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 фолликулярной фазе у обследованных больных не обнаружено, что, вероятно, связано с малым числом наблюдений. Тем не 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показ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тель уровня прогестерона в середине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лютеиновой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фазы цикла достоверно превышал 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ходный параметр у больных первой и второй групп, в то время как в третьей группе 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блюдалась только тенденция к его увеличению (42% от исходного уровня). Увеличение уровня прогестерона в первой группе составило 156%, во второй группе – 90% от исходного показателя. Таким 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разом, положительная динамика овариальной функции отмечалась во всех группах, но достоверного уровня она достигала у женщин, получа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ших лекарственную терапию, и в большей степени при применении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Частота наступления беременности была оценена у 20 женщин с бесплодием, десять из них получили курс стимуляции овуляции (предыдущие попытки стимуляции безу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пешны). Беременность наступила у 12 (60%) пациенток: у пяти из семи женщин пе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вой группы, четырех из восьми женщин второй группы, трех из пяти женщин трет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ь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ей группы. Сравнение межгру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повых различий эффективности терапии не представляется возможным из-за малого числа наблюдений и существенных различий факторов беспл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дия в группах. Однако следует признать высокий потенциал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века в качестве средства подготовки к восстановлению фертильности у женщин с бесплодием. Отслеживание течения беременности у больных с 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привычным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невынаш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ванием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показало следующие результаты. Биохимическая беременность была зафиксир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вана у всех пациенток. Сердцебиение плода было зарегистрировано у 14 (77,8%) из 18 женщин первой группы, у восьми (66,7%) из 12 женщин вт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рой группы, у четырех (33,3%) из 14 женщин третьей группы. Успешное вынашивание и своевременное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родора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решение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наблюдались у 12 (66,7%), шести (50%), трех (21,4%) же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щин в первой, второй, третьей группах соответственно.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Полученные данные свидетельствуют о необходимости назначения иммуномодул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рующей терапии женщинам с бесплодием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невынашиванием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беременности, имеющим недост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точный рост эндометрия.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может рассматриваться в ряду подобных средств и использоваться как метод подготовки к беременности у женщин с бесплодием и синдромом привычной потери плода. Несомненным преимущ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ством препарата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является сочетание противовоспалительного действия 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с улучшением ростовых функций слизистой оболочки тела матки, что позволяет пров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дить лечение с соблюдением принципа «пролиферация без воспаления». Важным обсто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я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тельством следует признать не только длител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ь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ное, не менее шести месяцев, сохранение эффекта терапии, но и нарастание положительной динамики. Это свидетельствует о способности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гидролизата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плаценты человека восстанавливать собственный регенер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тивный потенциал женских репродуктивных орг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нов.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 предполагаемом фертильном цикле, особенно при проведении стимуляции функции яи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ников, обоснованно применение эстрогенных препаратов. При этом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трансдермальные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формы эстрогенов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Дивигель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) обладают рядом преимуществ перед оральным приемом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диола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ввиду высокой по сравнению с оральным приемом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биодоступности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создания постоянной концентрации в кровотоке, отсутствия конверсии в неактивные метаболиты и возможности легкого варьирования дозы. Справедливости ради надо отметить, что пр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параты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эстрадиола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могут назначаться и на этапе подготовки к фертильному циклу в случаях, когда причиной тонкого эндометрия является овариальная недостаточность. Доза подбирается 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дивидуально под контролем ультразвукового исследования (величина переднезаднего размера М-эхо). Эс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рогены назначаются по 21-дневной схеме, в течение последних десяти дней их сочетают с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прогестинами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дидрогестерон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10–20 мг/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микр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низированный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прогестерон 200 мг/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раствор прогестерона 1% – 2 мл или 2,5% – 1 мл внутримышечно через день). Реакция энд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метрия в индивидуальных случаях значительно отличается, поэтому возможность увеличивать или уменьшать дозу становится принцип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альным фактором успеха подготовки эндоме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рия к фертильному циклу и обусловливает предпочтение в пользу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трансдермальных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форм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Дивигель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нормальной функции яичников применение эстрогенов допускается только в цикле планируемой беременности. Обычно такая необходимость возникает при стим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ляции яичников с помощью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кломифена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цитрата, обладающего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антиэстрогенным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свойс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вом. Чтобы не снизить эффективность стимуляции овуляции, эстрогены рекомендуют принимать не ранее девятого дня цикла при диаметре лидирующего фолликула 14–15 мм. В протоколах программ вспомогательных репродуктивных технологий, использующих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агонисты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гонадолиберина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значение препаратов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эстрадиола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является обязательным.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Недостаточная эффективность гормональной терапии эстрогенами объясняется сн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женной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рецептивностью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тонкого эндометрия и сохраняет актуальность поиска дополн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тельных путей увеличения его роста.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 течение многих лет разрабатываются способы внутриматочного воздействия, обл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дающие главным образом противовоспалительным, иммуномодулирующим эффектом, и поэтому они более приемлемы в практике предварительной подготовки эндометрия. Методы улучшения морфофункционального состояния эндометрия непосредственно в фертильном цикле 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раничены, но их разумное применение может повысить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успех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как спонтанного зачатия, так и программ вспомогательных репродуктивных технологий [15].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Недавно был предложен метод лечения путем орошения эндометрия смесью из углекислого газа и азота, в результате чего значительно усиливается кровообращение в слизистой и увеличивается толщина базального и функционального слоев эндометрия [16]. Углекислый газ оказывает сосудорасширяющее действие, которое сопровождается усилением метаболизма и восстановлением рецепторной чувствительности. Азот – один из основных химических элементов биологически активных веществ – необходим для обеспечения дыхания и жизнедеятельности клеток. Методика предусматривает провед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ние трех орошений в течение первой фазы менструального цикла и демонстрирует пол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жительный эффект в отношении роста эндометрия, достигающего приемлемой величины к моменту переноса эмбриона.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Перспективным методом лечения тонкого эндометрия является использование преп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ратов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гранулоцитарно-колониестимулирующего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фактора (Г-КСФ), хотя механизм его де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й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ствия в отношении пролиферации и дифференцировки клеток эндометрия до конца не ясен. По имеющимся на сегодняшний день данным, Г-КСФ повышает концентрацию в эндометрии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тромбоцитарного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фактора роста эндотелиальных клеток, играющего ключ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вую роль в стимуляции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ангиогенеза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Такая же положительная корреляция наблюдалась при изучении концентраций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интегрина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альфа-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V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/бета-3. Как известно,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интегрины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задейс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вованы во всех ст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диях имплантации, наибольшая концентрация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интегрина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альфа-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V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/бета-3 совпадает с максимальной рецепторной активностью эндометрия. Данный гликопротеин выделяется ж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лезистыми эпителиальными клетками после 19-го дня цикла при открытии окна имплантации. В нескольких работах было показано, что недостаток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интегрина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альфа-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V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/бета-3 характерен для женщин с тонким эндометрием и встречается также у пациенток, перенесших многочи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ленные безуспешные попытки ЭКО. Внутриматочные перфузии Г-КСФ сопровождаются увеличением толщины эндометрия в течение 72 часов после пр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менения [17], что определяет кратность его введения в первой фазе менструального цикла вплоть до овуляции.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 последние годы широко изучаются возможности клеточной терапии стволовыми клетками в регенеративной медицине. Стволовые клетки – это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клоногенные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клетки, сп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собные к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самоподдержанию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дифференцировке в другие типы клеток. </w:t>
      </w:r>
      <w:proofErr w:type="spellStart"/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Самоподдержание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стволовых клеток осуществляется за счет симметричного деления, в результате которого обе дочерние клетки идентичны материнской.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При асимметричном делении одна из дочерних клеток становится более дифференцированной, а другая остается неспеци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лизированной стволовой клеткой, сохраняющей все свойства материнской клетки. Благ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даря этим механизмам стволовые клетки способны к пролиферации без дифференцировки на протяжении неопределенно длительного периода времени или даже в течение всей жизни организма.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 происхождению различают две группы стволовых клеток – эмбриональные и взрослые. Эмбриональные стволовые клетки возникают на ранних стадиях развития 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родыша и представляют собой клетки с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тотипотентными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свойствами. Главным недоста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ком использ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вания этих клеток является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низкая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контролируемость их роста и вследствие этого высокий риск развития тератом. К тому же их применение дискутируется по этическим причинам, а методы их культивирования считаются небезопасными для ч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ловека. Внимание в последние годы обращено к взрослым стволовым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клеткам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прежде вс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 из-за их нахождения в большинстве тканей организма, а также из-за обнаруженной у них способности диффере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цироваться в многочисленные типы клеток.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Одними из наиболее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перспективных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использования в регенеративной медицине я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ляются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стволовые клетки, происходящие из костного мозга, пуповинной крови, жировой ткани. В последние годы описан новый источник таких клеток – менстр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альная кровь.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стволовые клетки эндометрия человека по своим свойс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вам оказались сходными с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мезенхимальными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стволовыми клетками, выделенными из других источников. Эти клетки являются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мультипотентными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могут дифференцир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ваться в различные клеточные типы и, следовательно, имеют перспективы в заместительной регенеративной терапии. Среди преимуществ их использования: до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тупность,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неинвазивный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способ получения исходного материала, а также отсутствие 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мунных реакций при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аллогенном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применении. Отсутствие спонтанной трансформации при длительном культивировании клеток – важный фактор, подтверждающий безопа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ность использования метода.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стволовые клетки секретируют ряд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цитокинов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интерлейкины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6, 7, 8, 11, 12, 14, 15, 27, фактор, угнетающий лейкемию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leukemia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inhibitory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), фактор роста стволовых клеток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stem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cell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), макрофагальный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колониестимулирующий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фактор 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macrophage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colony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stimulating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)). Некоторые из них обеспечивают критическое вза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модействие «клетка – клетка», приводя к ускорению дифференцировки гемопоэтических стволовых клеток. По другим данным,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стволовые клетки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in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vitro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синтез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руют различные ростовые факторы, включая VEGF,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интерлейкины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1 и 6, фактор некроза опухоли, а также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гепатоцитарный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фактор роста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hepatocyte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growth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), который инд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цирует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митогенную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антиапоптогенную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активность в различных системах, ускоряет з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живление ран.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зенхимальные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стволовые клетки обладают рецепторами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эпидермального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фактора роста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epidermal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growth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), инсулиноподобного фактора роста 1 (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insulin-like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growth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factor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1) и др., обладают иммуномодулирующими эффектами, индуцируют </w:t>
      </w:r>
      <w:proofErr w:type="spellStart"/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Т-регуляторные</w:t>
      </w:r>
      <w:proofErr w:type="spellEnd"/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клетки, косвенно способствуя переключению Th1 клеточного иммунитета на Th2 гуморальный ответ [18]. При этом описываются антибактериальные свойства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зенхимальных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стволовых клеток, а их системное введение значительно уменьшает перс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стенцию хронической инфекции, снижает циркуляцию нейтрофилов по отношению к макрофагам [18, 19]. Такой разнонаправленный спектр потенциальной активности об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словливает перспективы применения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ь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стволовых клеток в регенеративной медицине.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Появляются работы, посвященные применению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эндометриальных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стволовых клеток в лечении синдрома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Ашермана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После их введения наблюдалась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неов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скуляр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зация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стенки матки, 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сопровождающаяся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утолщением эндометрия, достаточным для успешной имплантации и вынашивания беременности [20]. В случаях отсутствия 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вета эндометрия на гормональную терапию внутриматочное введение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мезенхимальных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стволовых клеток в начале менструального цикла непосредственно после 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кюретажа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может решить задачу роста эндометрия и в последующем способствовать наступлению береме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ности в программе ЭКО. Подобные публикации пока носят характер описания единичных случаев [21]. Тем не </w:t>
      </w:r>
      <w:proofErr w:type="gram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следует признать высокий потенциал клеточных технологий в преодолении невосприимчивости тонкого эндометрия и связанных с ней бесплодия и </w:t>
      </w:r>
      <w:proofErr w:type="spellStart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невынашивания</w:t>
      </w:r>
      <w:proofErr w:type="spellEnd"/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беременности.</w:t>
      </w:r>
    </w:p>
    <w:p w:rsidR="00C01AF4" w:rsidRPr="00C01AF4" w:rsidRDefault="00C01AF4" w:rsidP="00C01AF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Таким образом, проблема тонкого эндометрия сегодня далека от разрешения. Патогенез нарушения роста этого необходимого для репродукции органа не ясен, а способы норм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лизации пролиферативных процессов ограниченны. Необходимость тестирования сущес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вующих методик, как и поиск новых терапевтических подходов, очевидна, поскольку о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тимизация л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чения тонкого эндометрия является залогом восстановления фертильности у значительного чи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r w:rsidRPr="00C01A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ла женщин. </w:t>
      </w:r>
    </w:p>
    <w:p w:rsidR="00C01AF4" w:rsidRPr="00C01AF4" w:rsidRDefault="00C01AF4" w:rsidP="00C01A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</w:pPr>
      <w:proofErr w:type="gramStart"/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КЛЮЧЕВЫЕ СЛОВА: тонкий эндометрий, хронический эндометрит, рецепти</w:t>
      </w: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в</w:t>
      </w: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ность эндометрия, бесплодие, привычный самопрои</w:t>
      </w: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з</w:t>
      </w:r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 xml:space="preserve">вольный выкидыш, неудачи ЭКО, эстрогены, </w:t>
      </w:r>
      <w:proofErr w:type="spellStart"/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прогестагены</w:t>
      </w:r>
      <w:proofErr w:type="spellEnd"/>
      <w:r w:rsidRPr="00C01AF4">
        <w:rPr>
          <w:rFonts w:ascii="roboto" w:eastAsia="Times New Roman" w:hAnsi="roboto" w:cs="Times New Roman"/>
          <w:color w:val="484848"/>
          <w:sz w:val="24"/>
          <w:szCs w:val="24"/>
          <w:lang w:eastAsia="ru-RU"/>
        </w:rPr>
        <w:t>, плацентарные препараты, факторы роста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C01AF4" w:rsidRPr="00C01AF4" w:rsidTr="00C01A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AF4" w:rsidRPr="00C01AF4" w:rsidRDefault="00C01AF4" w:rsidP="00C01A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AF4" w:rsidRPr="00C01AF4" w:rsidRDefault="00C01AF4" w:rsidP="00C01A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640" w:rsidRPr="00C01AF4" w:rsidRDefault="00684640" w:rsidP="00C01AF4">
      <w:pPr>
        <w:ind w:firstLine="284"/>
        <w:jc w:val="both"/>
        <w:rPr>
          <w:sz w:val="24"/>
          <w:szCs w:val="24"/>
        </w:rPr>
      </w:pPr>
    </w:p>
    <w:sectPr w:rsidR="00684640" w:rsidRPr="00C01AF4" w:rsidSect="00C01AF4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47" w:rsidRDefault="00BC2F47" w:rsidP="00C01AF4">
      <w:pPr>
        <w:spacing w:after="0" w:line="240" w:lineRule="auto"/>
      </w:pPr>
      <w:r>
        <w:separator/>
      </w:r>
    </w:p>
  </w:endnote>
  <w:endnote w:type="continuationSeparator" w:id="0">
    <w:p w:rsidR="00BC2F47" w:rsidRDefault="00BC2F47" w:rsidP="00C0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47" w:rsidRDefault="00BC2F47" w:rsidP="00C01AF4">
      <w:pPr>
        <w:spacing w:after="0" w:line="240" w:lineRule="auto"/>
      </w:pPr>
      <w:r>
        <w:separator/>
      </w:r>
    </w:p>
  </w:footnote>
  <w:footnote w:type="continuationSeparator" w:id="0">
    <w:p w:rsidR="00BC2F47" w:rsidRDefault="00BC2F47" w:rsidP="00C0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7710"/>
      <w:docPartObj>
        <w:docPartGallery w:val="Page Numbers (Margins)"/>
        <w:docPartUnique/>
      </w:docPartObj>
    </w:sdtPr>
    <w:sdtContent>
      <w:p w:rsidR="00C01AF4" w:rsidRDefault="00C01AF4">
        <w:pPr>
          <w:pStyle w:val="a3"/>
        </w:pPr>
        <w:r w:rsidRPr="001F524D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a5a5a5 [3206]" stroked="f">
              <v:textbox style="mso-next-textbox:#_x0000_s2049" inset="0,,0">
                <w:txbxContent>
                  <w:p w:rsidR="00C01AF4" w:rsidRDefault="00C01AF4">
                    <w:pPr>
                      <w:rPr>
                        <w:rStyle w:val="a7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Pr="00C01AF4">
                        <w:rPr>
                          <w:rStyle w:val="a7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B49"/>
    <w:multiLevelType w:val="multilevel"/>
    <w:tmpl w:val="D85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444D"/>
    <w:multiLevelType w:val="multilevel"/>
    <w:tmpl w:val="FE4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1AF4"/>
    <w:rsid w:val="00684640"/>
    <w:rsid w:val="00AF0EDF"/>
    <w:rsid w:val="00BC2F47"/>
    <w:rsid w:val="00C0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0"/>
  </w:style>
  <w:style w:type="paragraph" w:styleId="1">
    <w:name w:val="heading 1"/>
    <w:basedOn w:val="a"/>
    <w:link w:val="10"/>
    <w:uiPriority w:val="9"/>
    <w:qFormat/>
    <w:rsid w:val="00C0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-text-2">
    <w:name w:val="x-text-2"/>
    <w:basedOn w:val="a"/>
    <w:rsid w:val="00C0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AF4"/>
  </w:style>
  <w:style w:type="paragraph" w:styleId="a5">
    <w:name w:val="footer"/>
    <w:basedOn w:val="a"/>
    <w:link w:val="a6"/>
    <w:uiPriority w:val="99"/>
    <w:semiHidden/>
    <w:unhideWhenUsed/>
    <w:rsid w:val="00C0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AF4"/>
  </w:style>
  <w:style w:type="character" w:styleId="a7">
    <w:name w:val="page number"/>
    <w:basedOn w:val="a0"/>
    <w:uiPriority w:val="99"/>
    <w:unhideWhenUsed/>
    <w:rsid w:val="00C01AF4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352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3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9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7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3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5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3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730">
          <w:marLeft w:val="0"/>
          <w:marRight w:val="0"/>
          <w:marTop w:val="345"/>
          <w:marBottom w:val="0"/>
          <w:divBdr>
            <w:top w:val="none" w:sz="0" w:space="0" w:color="auto"/>
            <w:left w:val="single" w:sz="6" w:space="0" w:color="DDDCCF"/>
            <w:bottom w:val="none" w:sz="0" w:space="0" w:color="auto"/>
            <w:right w:val="none" w:sz="0" w:space="0" w:color="auto"/>
          </w:divBdr>
          <w:divsChild>
            <w:div w:id="799415686">
              <w:marLeft w:val="0"/>
              <w:marRight w:val="0"/>
              <w:marTop w:val="240"/>
              <w:marBottom w:val="0"/>
              <w:divBdr>
                <w:top w:val="single" w:sz="6" w:space="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892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2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  <w:div w:id="1151940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4175</Words>
  <Characters>23804</Characters>
  <Application>Microsoft Office Word</Application>
  <DocSecurity>0</DocSecurity>
  <Lines>198</Lines>
  <Paragraphs>55</Paragraphs>
  <ScaleCrop>false</ScaleCrop>
  <Company>Microsoft</Company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MSI</dc:creator>
  <cp:lastModifiedBy>GAME MSI</cp:lastModifiedBy>
  <cp:revision>1</cp:revision>
  <dcterms:created xsi:type="dcterms:W3CDTF">2016-11-19T13:10:00Z</dcterms:created>
  <dcterms:modified xsi:type="dcterms:W3CDTF">2016-11-19T13:16:00Z</dcterms:modified>
</cp:coreProperties>
</file>